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May 22, 2026</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TermsFeed 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Privacy Policy) refers to Newstate s. r. o., Pernecká 3341/17, 84104, Bratislava,.</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Slovakia</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(or "Personal Information") is any information that relates to an identified or identifiable individual.</w:t>
      </w:r>
    </w:p>
    <w:p>
      <w:pPr>
        <w:pStyle w:val="aa"/>
      </w:pPr>
      <w:r>
        <w:t>We use "Personal Data" and "Personal Information" interchangeably unless a law uses a specific term.</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newstate.sk, accessible from </w:t>
      </w:r>
      <w:hyperlink r:id="rId9">
        <w:r>
          <w:rPr>
            <w:rStyle w:val="Hyperlink"/>
          </w:rPr>
          <w:t>https://www.newstate.sk/</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Email address</w:t>
      </w:r>
    </w:p>
    <w:p>
      <w:pPr>
        <w:pStyle w:val="a0"/>
      </w:pPr>
      <w:r>
        <w:t>First name and last name</w:t>
      </w:r>
    </w:p>
    <w:p>
      <w:pPr>
        <w:pStyle w:val="a0"/>
      </w:pPr>
      <w:r>
        <w:t>Phone number</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Cookies can be "Persistent" or "Session" Cookies. Persistent Cookies remain on Your personal computer or mobile device when You go offline, while Session Cookies are deleted as soon as You close Your web browser.</w:t>
      </w:r>
    </w:p>
    <w:p>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Website analytics data (cookies, IP addresses, device identifiers): up to 24 months from the date of collection, which allows us to analyze trends while respecting privacy principles.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hello@newstate.sk</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www.newstat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